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D2" w:rsidRPr="005239D2" w:rsidRDefault="005239D2" w:rsidP="005239D2">
      <w:pPr>
        <w:numPr>
          <w:ilvl w:val="0"/>
          <w:numId w:val="6"/>
        </w:numPr>
        <w:tabs>
          <w:tab w:val="clear" w:pos="720"/>
          <w:tab w:val="num" w:pos="360"/>
          <w:tab w:val="num" w:pos="426"/>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w:t>
      </w:r>
      <w:r w:rsidRPr="005239D2">
        <w:rPr>
          <w:rFonts w:ascii="Arial" w:hAnsi="Arial" w:cs="Arial"/>
          <w:bCs/>
          <w:spacing w:val="-3"/>
          <w:sz w:val="22"/>
          <w:szCs w:val="22"/>
        </w:rPr>
        <w:t xml:space="preserve">he Queensland Government, as a member of the Council of Australian Governments (COAG), has committed to the following six key targets to prioritise ‘closing the gap’ on Indigenous disadvantage:  </w:t>
      </w:r>
    </w:p>
    <w:p w:rsidR="005239D2" w:rsidRPr="005239D2" w:rsidRDefault="005239D2" w:rsidP="005062DE">
      <w:pPr>
        <w:numPr>
          <w:ilvl w:val="0"/>
          <w:numId w:val="13"/>
        </w:numPr>
        <w:spacing w:before="80"/>
        <w:ind w:left="811"/>
        <w:jc w:val="both"/>
        <w:rPr>
          <w:rFonts w:ascii="Arial" w:hAnsi="Arial" w:cs="Arial"/>
          <w:bCs/>
          <w:spacing w:val="-3"/>
          <w:sz w:val="22"/>
          <w:szCs w:val="22"/>
        </w:rPr>
      </w:pPr>
      <w:r w:rsidRPr="005239D2">
        <w:rPr>
          <w:rFonts w:ascii="Arial" w:hAnsi="Arial" w:cs="Arial"/>
          <w:bCs/>
          <w:spacing w:val="-3"/>
          <w:sz w:val="22"/>
          <w:szCs w:val="22"/>
        </w:rPr>
        <w:t xml:space="preserve">closing the life expectancy gap within a generation; </w:t>
      </w:r>
    </w:p>
    <w:p w:rsidR="005239D2" w:rsidRPr="005239D2" w:rsidRDefault="005239D2" w:rsidP="005062DE">
      <w:pPr>
        <w:numPr>
          <w:ilvl w:val="0"/>
          <w:numId w:val="13"/>
        </w:numPr>
        <w:spacing w:before="80"/>
        <w:ind w:left="811"/>
        <w:jc w:val="both"/>
        <w:rPr>
          <w:rFonts w:ascii="Arial" w:hAnsi="Arial" w:cs="Arial"/>
          <w:bCs/>
          <w:spacing w:val="-3"/>
          <w:sz w:val="22"/>
          <w:szCs w:val="22"/>
        </w:rPr>
      </w:pPr>
      <w:r w:rsidRPr="005239D2">
        <w:rPr>
          <w:rFonts w:ascii="Arial" w:hAnsi="Arial" w:cs="Arial"/>
          <w:bCs/>
          <w:spacing w:val="-3"/>
          <w:sz w:val="22"/>
          <w:szCs w:val="22"/>
        </w:rPr>
        <w:t xml:space="preserve">halving the mortality gap for children under five within a decade; </w:t>
      </w:r>
    </w:p>
    <w:p w:rsidR="005239D2" w:rsidRPr="005239D2" w:rsidRDefault="005239D2" w:rsidP="005062DE">
      <w:pPr>
        <w:numPr>
          <w:ilvl w:val="0"/>
          <w:numId w:val="13"/>
        </w:numPr>
        <w:spacing w:before="80"/>
        <w:ind w:left="811"/>
        <w:jc w:val="both"/>
        <w:rPr>
          <w:rFonts w:ascii="Arial" w:hAnsi="Arial" w:cs="Arial"/>
          <w:bCs/>
          <w:spacing w:val="-3"/>
          <w:sz w:val="22"/>
          <w:szCs w:val="22"/>
        </w:rPr>
      </w:pPr>
      <w:r w:rsidRPr="005239D2">
        <w:rPr>
          <w:rFonts w:ascii="Arial" w:hAnsi="Arial" w:cs="Arial"/>
          <w:bCs/>
          <w:spacing w:val="-3"/>
          <w:sz w:val="22"/>
          <w:szCs w:val="22"/>
        </w:rPr>
        <w:t xml:space="preserve">halving the gap in reading, writing, and numeracy within a decade; </w:t>
      </w:r>
    </w:p>
    <w:p w:rsidR="005239D2" w:rsidRPr="005239D2" w:rsidRDefault="005239D2" w:rsidP="005062DE">
      <w:pPr>
        <w:numPr>
          <w:ilvl w:val="0"/>
          <w:numId w:val="13"/>
        </w:numPr>
        <w:spacing w:before="80"/>
        <w:ind w:left="811"/>
        <w:jc w:val="both"/>
        <w:rPr>
          <w:rFonts w:ascii="Arial" w:hAnsi="Arial" w:cs="Arial"/>
          <w:bCs/>
          <w:spacing w:val="-3"/>
          <w:sz w:val="22"/>
          <w:szCs w:val="22"/>
        </w:rPr>
      </w:pPr>
      <w:r w:rsidRPr="005239D2">
        <w:rPr>
          <w:rFonts w:ascii="Arial" w:hAnsi="Arial" w:cs="Arial"/>
          <w:bCs/>
          <w:spacing w:val="-3"/>
          <w:sz w:val="22"/>
          <w:szCs w:val="22"/>
        </w:rPr>
        <w:t xml:space="preserve">at least halving the gap for Indigenous students in year 12 attainment or equivalent attainment rates by 2020; </w:t>
      </w:r>
    </w:p>
    <w:p w:rsidR="005239D2" w:rsidRPr="005239D2" w:rsidRDefault="005239D2" w:rsidP="005062DE">
      <w:pPr>
        <w:numPr>
          <w:ilvl w:val="0"/>
          <w:numId w:val="13"/>
        </w:numPr>
        <w:spacing w:before="80"/>
        <w:ind w:left="811"/>
        <w:jc w:val="both"/>
        <w:rPr>
          <w:rFonts w:ascii="Arial" w:hAnsi="Arial" w:cs="Arial"/>
          <w:bCs/>
          <w:spacing w:val="-3"/>
          <w:sz w:val="22"/>
          <w:szCs w:val="22"/>
        </w:rPr>
      </w:pPr>
      <w:r w:rsidRPr="005239D2">
        <w:rPr>
          <w:rFonts w:ascii="Arial" w:hAnsi="Arial" w:cs="Arial"/>
          <w:bCs/>
          <w:spacing w:val="-3"/>
          <w:sz w:val="22"/>
          <w:szCs w:val="22"/>
        </w:rPr>
        <w:t xml:space="preserve">providing Indigenous four-year olds in remote communities with access to early childhood education within five years; and </w:t>
      </w:r>
    </w:p>
    <w:p w:rsidR="005239D2" w:rsidRPr="005239D2" w:rsidRDefault="005239D2" w:rsidP="005062DE">
      <w:pPr>
        <w:numPr>
          <w:ilvl w:val="0"/>
          <w:numId w:val="13"/>
        </w:numPr>
        <w:spacing w:before="80"/>
        <w:ind w:left="811"/>
        <w:jc w:val="both"/>
        <w:rPr>
          <w:rFonts w:ascii="Arial" w:hAnsi="Arial" w:cs="Arial"/>
          <w:bCs/>
          <w:spacing w:val="-3"/>
          <w:sz w:val="22"/>
          <w:szCs w:val="22"/>
        </w:rPr>
      </w:pPr>
      <w:r w:rsidRPr="005239D2">
        <w:rPr>
          <w:rFonts w:ascii="Arial" w:hAnsi="Arial" w:cs="Arial"/>
          <w:bCs/>
          <w:spacing w:val="-3"/>
          <w:sz w:val="22"/>
          <w:szCs w:val="22"/>
        </w:rPr>
        <w:t>halving the gap in Indigenous employment outcomes within a decade.</w:t>
      </w:r>
    </w:p>
    <w:p w:rsidR="005239D2" w:rsidRDefault="005239D2" w:rsidP="00C07656">
      <w:pPr>
        <w:numPr>
          <w:ilvl w:val="0"/>
          <w:numId w:val="6"/>
        </w:numPr>
        <w:tabs>
          <w:tab w:val="clear" w:pos="720"/>
          <w:tab w:val="num" w:pos="360"/>
        </w:tabs>
        <w:spacing w:before="240"/>
        <w:ind w:left="360"/>
        <w:jc w:val="both"/>
        <w:rPr>
          <w:rFonts w:ascii="Arial" w:hAnsi="Arial" w:cs="Arial"/>
          <w:bCs/>
          <w:spacing w:val="-3"/>
          <w:sz w:val="22"/>
          <w:szCs w:val="22"/>
        </w:rPr>
      </w:pPr>
      <w:r w:rsidRPr="005239D2">
        <w:rPr>
          <w:rFonts w:ascii="Arial" w:hAnsi="Arial" w:cs="Arial"/>
          <w:bCs/>
          <w:spacing w:val="-3"/>
          <w:sz w:val="22"/>
          <w:szCs w:val="22"/>
        </w:rPr>
        <w:t xml:space="preserve">The </w:t>
      </w:r>
      <w:r w:rsidRPr="005239D2">
        <w:rPr>
          <w:rFonts w:ascii="Arial" w:hAnsi="Arial" w:cs="Arial"/>
          <w:bCs/>
          <w:i/>
          <w:spacing w:val="-3"/>
          <w:sz w:val="22"/>
          <w:szCs w:val="22"/>
        </w:rPr>
        <w:t>Queensland Closing the Gap 20</w:t>
      </w:r>
      <w:r>
        <w:rPr>
          <w:rFonts w:ascii="Arial" w:hAnsi="Arial" w:cs="Arial"/>
          <w:bCs/>
          <w:i/>
          <w:spacing w:val="-3"/>
          <w:sz w:val="22"/>
          <w:szCs w:val="22"/>
        </w:rPr>
        <w:t>07-</w:t>
      </w:r>
      <w:r w:rsidRPr="005239D2">
        <w:rPr>
          <w:rFonts w:ascii="Arial" w:hAnsi="Arial" w:cs="Arial"/>
          <w:bCs/>
          <w:i/>
          <w:spacing w:val="-3"/>
          <w:sz w:val="22"/>
          <w:szCs w:val="22"/>
        </w:rPr>
        <w:t>08 Report</w:t>
      </w:r>
      <w:r w:rsidRPr="005239D2">
        <w:rPr>
          <w:rFonts w:ascii="Arial" w:hAnsi="Arial" w:cs="Arial"/>
          <w:bCs/>
          <w:spacing w:val="-3"/>
          <w:sz w:val="22"/>
          <w:szCs w:val="22"/>
        </w:rPr>
        <w:t xml:space="preserve"> outlines progress by the Queensland Government, in partnership with Aboriginal and Torres Strait Islander Queenslanders, in ‘closing the gap’ on Indigenous disadvantage and achieving </w:t>
      </w:r>
      <w:r>
        <w:rPr>
          <w:rFonts w:ascii="Arial" w:hAnsi="Arial" w:cs="Arial"/>
          <w:bCs/>
          <w:spacing w:val="-3"/>
          <w:sz w:val="22"/>
          <w:szCs w:val="22"/>
        </w:rPr>
        <w:t>the</w:t>
      </w:r>
      <w:r w:rsidRPr="005239D2">
        <w:rPr>
          <w:rFonts w:ascii="Arial" w:hAnsi="Arial" w:cs="Arial"/>
          <w:bCs/>
          <w:spacing w:val="-3"/>
          <w:sz w:val="22"/>
          <w:szCs w:val="22"/>
        </w:rPr>
        <w:t xml:space="preserve"> six targets.</w:t>
      </w:r>
      <w:r>
        <w:rPr>
          <w:rFonts w:ascii="Arial" w:hAnsi="Arial" w:cs="Arial"/>
          <w:bCs/>
          <w:spacing w:val="-3"/>
          <w:sz w:val="22"/>
          <w:szCs w:val="22"/>
        </w:rPr>
        <w:t xml:space="preserve">  </w:t>
      </w:r>
      <w:r w:rsidRPr="005239D2">
        <w:rPr>
          <w:rFonts w:ascii="Arial" w:hAnsi="Arial" w:cs="Arial"/>
          <w:bCs/>
          <w:spacing w:val="-3"/>
          <w:sz w:val="22"/>
          <w:szCs w:val="22"/>
        </w:rPr>
        <w:t>The Report summarises key indicators, strategic directions and key Queensland Government initiatives in the areas of early child development, education and training, healthy lives, economic participation, home environment, safe and supportive communities, governance and leadership, and land and culture.</w:t>
      </w:r>
    </w:p>
    <w:p w:rsidR="005239D2" w:rsidRDefault="005239D2" w:rsidP="00C07656">
      <w:pPr>
        <w:numPr>
          <w:ilvl w:val="0"/>
          <w:numId w:val="6"/>
        </w:numPr>
        <w:tabs>
          <w:tab w:val="clear" w:pos="720"/>
          <w:tab w:val="num" w:pos="360"/>
        </w:tabs>
        <w:spacing w:before="240"/>
        <w:ind w:left="360"/>
        <w:jc w:val="both"/>
        <w:rPr>
          <w:rFonts w:ascii="Arial" w:hAnsi="Arial" w:cs="Arial"/>
          <w:bCs/>
          <w:spacing w:val="-3"/>
          <w:sz w:val="22"/>
          <w:szCs w:val="22"/>
        </w:rPr>
      </w:pPr>
      <w:r w:rsidRPr="005239D2">
        <w:rPr>
          <w:rFonts w:ascii="Arial" w:hAnsi="Arial" w:cs="Arial"/>
          <w:bCs/>
          <w:spacing w:val="-3"/>
          <w:sz w:val="22"/>
          <w:szCs w:val="22"/>
        </w:rPr>
        <w:t>In general, substantial gaps remain in life expectancy, infant mortality, employment, year 12 retention and in the achievement of reading, writing and numeracy benchmarks. The gaps are generally greatest for people in discrete Indigenous communities.</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sidR="00A527A5">
        <w:rPr>
          <w:rFonts w:ascii="Arial" w:hAnsi="Arial" w:cs="Arial"/>
          <w:sz w:val="22"/>
          <w:szCs w:val="22"/>
        </w:rPr>
        <w:t xml:space="preserve"> </w:t>
      </w:r>
      <w:r w:rsidR="005239D2">
        <w:rPr>
          <w:rFonts w:ascii="Arial" w:hAnsi="Arial" w:cs="Arial"/>
          <w:sz w:val="22"/>
          <w:szCs w:val="22"/>
        </w:rPr>
        <w:t xml:space="preserve">the </w:t>
      </w:r>
      <w:smartTag w:uri="urn:schemas-microsoft-com:office:smarttags" w:element="State">
        <w:smartTag w:uri="urn:schemas-microsoft-com:office:smarttags" w:element="place">
          <w:r w:rsidR="005239D2" w:rsidRPr="005239D2">
            <w:rPr>
              <w:rFonts w:ascii="Arial" w:hAnsi="Arial" w:cs="Arial"/>
              <w:bCs/>
              <w:i/>
              <w:spacing w:val="-3"/>
              <w:sz w:val="22"/>
              <w:szCs w:val="22"/>
            </w:rPr>
            <w:t>Queensland</w:t>
          </w:r>
        </w:smartTag>
      </w:smartTag>
      <w:r w:rsidR="005239D2" w:rsidRPr="005239D2">
        <w:rPr>
          <w:rFonts w:ascii="Arial" w:hAnsi="Arial" w:cs="Arial"/>
          <w:bCs/>
          <w:i/>
          <w:spacing w:val="-3"/>
          <w:sz w:val="22"/>
          <w:szCs w:val="22"/>
        </w:rPr>
        <w:t xml:space="preserve"> Closing the Gap 20</w:t>
      </w:r>
      <w:r w:rsidR="005239D2">
        <w:rPr>
          <w:rFonts w:ascii="Arial" w:hAnsi="Arial" w:cs="Arial"/>
          <w:bCs/>
          <w:i/>
          <w:spacing w:val="-3"/>
          <w:sz w:val="22"/>
          <w:szCs w:val="22"/>
        </w:rPr>
        <w:t>07-</w:t>
      </w:r>
      <w:r w:rsidR="005239D2" w:rsidRPr="005239D2">
        <w:rPr>
          <w:rFonts w:ascii="Arial" w:hAnsi="Arial" w:cs="Arial"/>
          <w:bCs/>
          <w:i/>
          <w:spacing w:val="-3"/>
          <w:sz w:val="22"/>
          <w:szCs w:val="22"/>
        </w:rPr>
        <w:t>08 Report</w:t>
      </w:r>
      <w:r w:rsidR="005062DE">
        <w:rPr>
          <w:rFonts w:ascii="Arial" w:hAnsi="Arial" w:cs="Arial"/>
          <w:bCs/>
          <w:spacing w:val="-3"/>
          <w:sz w:val="22"/>
          <w:szCs w:val="22"/>
        </w:rPr>
        <w:t xml:space="preserve"> for public release</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4B794B" w:rsidRPr="004B794B" w:rsidRDefault="00C11A12" w:rsidP="00F10DF9">
      <w:pPr>
        <w:numPr>
          <w:ilvl w:val="0"/>
          <w:numId w:val="8"/>
        </w:numPr>
        <w:spacing w:before="120"/>
        <w:ind w:left="811"/>
        <w:jc w:val="both"/>
        <w:rPr>
          <w:rFonts w:ascii="Arial" w:hAnsi="Arial" w:cs="Arial"/>
          <w:sz w:val="22"/>
          <w:szCs w:val="22"/>
        </w:rPr>
      </w:pPr>
      <w:hyperlink r:id="rId7" w:history="1">
        <w:r w:rsidR="005239D2" w:rsidRPr="00464B51">
          <w:rPr>
            <w:rStyle w:val="Hyperlink"/>
            <w:rFonts w:ascii="Arial" w:hAnsi="Arial" w:cs="Arial"/>
            <w:bCs/>
            <w:i/>
            <w:spacing w:val="-3"/>
            <w:sz w:val="22"/>
            <w:szCs w:val="22"/>
          </w:rPr>
          <w:t>Queensland Closing the Gap 2007-08 Report</w:t>
        </w:r>
      </w:hyperlink>
    </w:p>
    <w:p w:rsidR="00A527A5" w:rsidRP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8" w:history="1">
        <w:r w:rsidR="004B794B" w:rsidRPr="009E71AF">
          <w:rPr>
            <w:rStyle w:val="Hyperlink"/>
            <w:rFonts w:ascii="Arial" w:hAnsi="Arial" w:cs="Arial"/>
            <w:bCs/>
            <w:spacing w:val="-3"/>
            <w:sz w:val="22"/>
            <w:szCs w:val="22"/>
          </w:rPr>
          <w:t>Executive Summary</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9" w:history="1">
        <w:r w:rsidR="004B794B" w:rsidRPr="009E71AF">
          <w:rPr>
            <w:rStyle w:val="Hyperlink"/>
            <w:rFonts w:ascii="Arial" w:hAnsi="Arial" w:cs="Arial"/>
            <w:sz w:val="22"/>
            <w:szCs w:val="22"/>
          </w:rPr>
          <w:t>Introduction, Targets, Key Indicators</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0" w:history="1">
        <w:r w:rsidR="004B794B" w:rsidRPr="009E71AF">
          <w:rPr>
            <w:rStyle w:val="Hyperlink"/>
            <w:rFonts w:ascii="Arial" w:hAnsi="Arial" w:cs="Arial"/>
            <w:sz w:val="22"/>
            <w:szCs w:val="22"/>
          </w:rPr>
          <w:t>Early Childhood Development</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1" w:history="1">
        <w:r w:rsidR="004B794B" w:rsidRPr="009E71AF">
          <w:rPr>
            <w:rStyle w:val="Hyperlink"/>
            <w:rFonts w:ascii="Arial" w:hAnsi="Arial" w:cs="Arial"/>
            <w:sz w:val="22"/>
            <w:szCs w:val="22"/>
          </w:rPr>
          <w:t>Education and Training</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2" w:history="1">
        <w:r w:rsidR="004B794B" w:rsidRPr="009E71AF">
          <w:rPr>
            <w:rStyle w:val="Hyperlink"/>
            <w:rFonts w:ascii="Arial" w:hAnsi="Arial" w:cs="Arial"/>
            <w:sz w:val="22"/>
            <w:szCs w:val="22"/>
          </w:rPr>
          <w:t>Healthy Lives</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3" w:history="1">
        <w:r w:rsidR="004B794B" w:rsidRPr="009E71AF">
          <w:rPr>
            <w:rStyle w:val="Hyperlink"/>
            <w:rFonts w:ascii="Arial" w:hAnsi="Arial" w:cs="Arial"/>
            <w:sz w:val="22"/>
            <w:szCs w:val="22"/>
          </w:rPr>
          <w:t>Economic Participation</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4" w:history="1">
        <w:r w:rsidR="004B794B" w:rsidRPr="009E71AF">
          <w:rPr>
            <w:rStyle w:val="Hyperlink"/>
            <w:rFonts w:ascii="Arial" w:hAnsi="Arial" w:cs="Arial"/>
            <w:sz w:val="22"/>
            <w:szCs w:val="22"/>
          </w:rPr>
          <w:t>Home Environment</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5" w:history="1">
        <w:r w:rsidR="00464B51" w:rsidRPr="009E71AF">
          <w:rPr>
            <w:rStyle w:val="Hyperlink"/>
            <w:rFonts w:ascii="Arial" w:hAnsi="Arial" w:cs="Arial"/>
            <w:sz w:val="22"/>
            <w:szCs w:val="22"/>
          </w:rPr>
          <w:t>Safe and S</w:t>
        </w:r>
        <w:r w:rsidR="004B794B" w:rsidRPr="009E71AF">
          <w:rPr>
            <w:rStyle w:val="Hyperlink"/>
            <w:rFonts w:ascii="Arial" w:hAnsi="Arial" w:cs="Arial"/>
            <w:sz w:val="22"/>
            <w:szCs w:val="22"/>
          </w:rPr>
          <w:t>upportive Communities</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6" w:history="1">
        <w:r w:rsidR="004B794B" w:rsidRPr="009E71AF">
          <w:rPr>
            <w:rStyle w:val="Hyperlink"/>
            <w:rFonts w:ascii="Arial" w:hAnsi="Arial" w:cs="Arial"/>
            <w:sz w:val="22"/>
            <w:szCs w:val="22"/>
          </w:rPr>
          <w:t>Governance and Leadership</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7" w:history="1">
        <w:r w:rsidR="004B794B" w:rsidRPr="009E71AF">
          <w:rPr>
            <w:rStyle w:val="Hyperlink"/>
            <w:rFonts w:ascii="Arial" w:hAnsi="Arial" w:cs="Arial"/>
            <w:sz w:val="22"/>
            <w:szCs w:val="22"/>
          </w:rPr>
          <w:t>Land and Culture</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8" w:history="1">
        <w:r w:rsidR="004B794B" w:rsidRPr="009E71AF">
          <w:rPr>
            <w:rStyle w:val="Hyperlink"/>
            <w:rFonts w:ascii="Arial" w:hAnsi="Arial" w:cs="Arial"/>
            <w:sz w:val="22"/>
            <w:szCs w:val="22"/>
          </w:rPr>
          <w:t>Demographic Overview</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19" w:history="1">
        <w:r w:rsidR="004B794B" w:rsidRPr="009E71AF">
          <w:rPr>
            <w:rStyle w:val="Hyperlink"/>
            <w:rFonts w:ascii="Arial" w:hAnsi="Arial" w:cs="Arial"/>
            <w:sz w:val="22"/>
            <w:szCs w:val="22"/>
          </w:rPr>
          <w:t>Glossary</w:t>
        </w:r>
      </w:hyperlink>
    </w:p>
    <w:p w:rsidR="004B794B" w:rsidRDefault="00C11A12" w:rsidP="004B794B">
      <w:pPr>
        <w:numPr>
          <w:ilvl w:val="0"/>
          <w:numId w:val="8"/>
        </w:numPr>
        <w:tabs>
          <w:tab w:val="clear" w:pos="814"/>
          <w:tab w:val="num" w:pos="1260"/>
        </w:tabs>
        <w:spacing w:before="60"/>
        <w:ind w:left="1259" w:hanging="357"/>
        <w:jc w:val="both"/>
        <w:rPr>
          <w:rFonts w:ascii="Arial" w:hAnsi="Arial" w:cs="Arial"/>
          <w:sz w:val="22"/>
          <w:szCs w:val="22"/>
        </w:rPr>
      </w:pPr>
      <w:hyperlink r:id="rId20" w:history="1">
        <w:r w:rsidR="004B794B" w:rsidRPr="009E71AF">
          <w:rPr>
            <w:rStyle w:val="Hyperlink"/>
            <w:rFonts w:ascii="Arial" w:hAnsi="Arial" w:cs="Arial"/>
            <w:sz w:val="22"/>
            <w:szCs w:val="22"/>
          </w:rPr>
          <w:t>Technical Notes, Appendices</w:t>
        </w:r>
      </w:hyperlink>
      <w:r w:rsidR="004B794B">
        <w:rPr>
          <w:rFonts w:ascii="Arial" w:hAnsi="Arial" w:cs="Arial"/>
          <w:sz w:val="22"/>
          <w:szCs w:val="22"/>
        </w:rPr>
        <w:t xml:space="preserve"> </w:t>
      </w:r>
    </w:p>
    <w:sectPr w:rsidR="004B794B" w:rsidSect="007D3B9D">
      <w:headerReference w:type="default" r:id="rId21"/>
      <w:footerReference w:type="default" r:id="rId22"/>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79" w:rsidRDefault="00037079">
      <w:r>
        <w:separator/>
      </w:r>
    </w:p>
  </w:endnote>
  <w:endnote w:type="continuationSeparator" w:id="0">
    <w:p w:rsidR="00037079" w:rsidRDefault="0003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74" w:rsidRPr="001141E1" w:rsidRDefault="005E6374"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79" w:rsidRDefault="00037079">
      <w:r>
        <w:separator/>
      </w:r>
    </w:p>
  </w:footnote>
  <w:footnote w:type="continuationSeparator" w:id="0">
    <w:p w:rsidR="00037079" w:rsidRDefault="0003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74" w:rsidRPr="000400F9" w:rsidRDefault="001E4D25"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E6374" w:rsidRPr="000400F9">
      <w:rPr>
        <w:rFonts w:ascii="Arial" w:hAnsi="Arial" w:cs="Arial"/>
        <w:b/>
        <w:sz w:val="22"/>
        <w:szCs w:val="22"/>
        <w:u w:val="single"/>
      </w:rPr>
      <w:t xml:space="preserve">Cabinet – </w:t>
    </w:r>
    <w:r w:rsidR="005E6374">
      <w:rPr>
        <w:rFonts w:ascii="Arial" w:hAnsi="Arial" w:cs="Arial"/>
        <w:b/>
        <w:sz w:val="22"/>
        <w:szCs w:val="22"/>
        <w:u w:val="single"/>
      </w:rPr>
      <w:t>November 2008</w:t>
    </w:r>
  </w:p>
  <w:p w:rsidR="005E6374" w:rsidRDefault="005E6374" w:rsidP="000400F9">
    <w:pPr>
      <w:pStyle w:val="Header"/>
      <w:spacing w:before="120"/>
      <w:rPr>
        <w:rFonts w:ascii="Arial" w:hAnsi="Arial" w:cs="Arial"/>
        <w:b/>
        <w:sz w:val="22"/>
        <w:szCs w:val="22"/>
        <w:u w:val="single"/>
      </w:rPr>
    </w:pPr>
    <w:smartTag w:uri="urn:schemas-microsoft-com:office:smarttags" w:element="State">
      <w:r w:rsidRPr="005239D2">
        <w:rPr>
          <w:rFonts w:ascii="Arial" w:hAnsi="Arial" w:cs="Arial"/>
          <w:b/>
          <w:i/>
          <w:sz w:val="22"/>
          <w:szCs w:val="22"/>
          <w:u w:val="single"/>
        </w:rPr>
        <w:t>Queensland</w:t>
      </w:r>
    </w:smartTag>
    <w:r w:rsidRPr="005239D2">
      <w:rPr>
        <w:rFonts w:ascii="Arial" w:hAnsi="Arial" w:cs="Arial"/>
        <w:b/>
        <w:i/>
        <w:sz w:val="22"/>
        <w:szCs w:val="22"/>
        <w:u w:val="single"/>
      </w:rPr>
      <w:t xml:space="preserve"> Closing the Gap 200</w:t>
    </w:r>
    <w:r>
      <w:rPr>
        <w:rFonts w:ascii="Arial" w:hAnsi="Arial" w:cs="Arial"/>
        <w:b/>
        <w:i/>
        <w:sz w:val="22"/>
        <w:szCs w:val="22"/>
        <w:u w:val="single"/>
      </w:rPr>
      <w:t>7-0</w:t>
    </w:r>
    <w:r w:rsidRPr="005239D2">
      <w:rPr>
        <w:rFonts w:ascii="Arial" w:hAnsi="Arial" w:cs="Arial"/>
        <w:b/>
        <w:i/>
        <w:sz w:val="22"/>
        <w:szCs w:val="22"/>
        <w:u w:val="single"/>
      </w:rPr>
      <w:t xml:space="preserve">8 Report: Indicators and Initiatives for Aboriginal and </w:t>
    </w:r>
    <w:smartTag w:uri="urn:schemas-microsoft-com:office:smarttags" w:element="place">
      <w:r w:rsidRPr="005239D2">
        <w:rPr>
          <w:rFonts w:ascii="Arial" w:hAnsi="Arial" w:cs="Arial"/>
          <w:b/>
          <w:i/>
          <w:sz w:val="22"/>
          <w:szCs w:val="22"/>
          <w:u w:val="single"/>
        </w:rPr>
        <w:t>Torres Strait</w:t>
      </w:r>
    </w:smartTag>
    <w:r w:rsidRPr="005239D2">
      <w:rPr>
        <w:rFonts w:ascii="Arial" w:hAnsi="Arial" w:cs="Arial"/>
        <w:b/>
        <w:i/>
        <w:sz w:val="22"/>
        <w:szCs w:val="22"/>
        <w:u w:val="single"/>
      </w:rPr>
      <w:t xml:space="preserve"> Islander Peoples</w:t>
    </w:r>
  </w:p>
  <w:p w:rsidR="005E6374" w:rsidRDefault="005E6374" w:rsidP="000400F9">
    <w:pPr>
      <w:pStyle w:val="Header"/>
      <w:spacing w:before="120"/>
      <w:rPr>
        <w:rFonts w:ascii="Arial" w:hAnsi="Arial" w:cs="Arial"/>
        <w:b/>
        <w:sz w:val="22"/>
        <w:szCs w:val="22"/>
        <w:u w:val="single"/>
      </w:rPr>
    </w:pPr>
    <w:r w:rsidRPr="005239D2">
      <w:rPr>
        <w:rFonts w:ascii="Arial" w:hAnsi="Arial" w:cs="Arial"/>
        <w:b/>
        <w:sz w:val="22"/>
        <w:szCs w:val="22"/>
        <w:u w:val="single"/>
      </w:rPr>
      <w:t xml:space="preserve">Minister for Communities, Minister for Disability Services, Minister for Aboriginal and </w:t>
    </w:r>
    <w:smartTag w:uri="urn:schemas-microsoft-com:office:smarttags" w:element="place">
      <w:r w:rsidRPr="005239D2">
        <w:rPr>
          <w:rFonts w:ascii="Arial" w:hAnsi="Arial" w:cs="Arial"/>
          <w:b/>
          <w:sz w:val="22"/>
          <w:szCs w:val="22"/>
          <w:u w:val="single"/>
        </w:rPr>
        <w:t>Torres Strait</w:t>
      </w:r>
    </w:smartTag>
    <w:r w:rsidRPr="005239D2">
      <w:rPr>
        <w:rFonts w:ascii="Arial" w:hAnsi="Arial" w:cs="Arial"/>
        <w:b/>
        <w:sz w:val="22"/>
        <w:szCs w:val="22"/>
        <w:u w:val="single"/>
      </w:rPr>
      <w:t xml:space="preserve"> Islander Partnerships and Minister for Multicultural Affairs, Seniors and Youth</w:t>
    </w:r>
  </w:p>
  <w:p w:rsidR="005E6374" w:rsidRPr="00F10DF9" w:rsidRDefault="005E6374"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9A35D73"/>
    <w:multiLevelType w:val="hybridMultilevel"/>
    <w:tmpl w:val="8626F02A"/>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2424C"/>
    <w:multiLevelType w:val="hybridMultilevel"/>
    <w:tmpl w:val="26145AD8"/>
    <w:lvl w:ilvl="0" w:tplc="0C09001B">
      <w:start w:val="1"/>
      <w:numFmt w:val="lowerRoman"/>
      <w:lvlText w:val="%1."/>
      <w:lvlJc w:val="right"/>
      <w:pPr>
        <w:ind w:left="72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43C686B6">
      <w:start w:val="1"/>
      <w:numFmt w:val="decimal"/>
      <w:lvlText w:val="%1."/>
      <w:lvlJc w:val="left"/>
      <w:pPr>
        <w:tabs>
          <w:tab w:val="num" w:pos="720"/>
        </w:tabs>
        <w:ind w:left="720" w:hanging="363"/>
      </w:pPr>
      <w:rPr>
        <w:rFonts w:hint="default"/>
      </w:rPr>
    </w:lvl>
    <w:lvl w:ilvl="1" w:tplc="99A03B00" w:tentative="1">
      <w:start w:val="1"/>
      <w:numFmt w:val="lowerLetter"/>
      <w:lvlText w:val="%2."/>
      <w:lvlJc w:val="left"/>
      <w:pPr>
        <w:tabs>
          <w:tab w:val="num" w:pos="1440"/>
        </w:tabs>
        <w:ind w:left="1440" w:hanging="360"/>
      </w:pPr>
    </w:lvl>
    <w:lvl w:ilvl="2" w:tplc="E9C6F564" w:tentative="1">
      <w:start w:val="1"/>
      <w:numFmt w:val="lowerRoman"/>
      <w:lvlText w:val="%3."/>
      <w:lvlJc w:val="right"/>
      <w:pPr>
        <w:tabs>
          <w:tab w:val="num" w:pos="2160"/>
        </w:tabs>
        <w:ind w:left="2160" w:hanging="180"/>
      </w:pPr>
    </w:lvl>
    <w:lvl w:ilvl="3" w:tplc="80A2471A" w:tentative="1">
      <w:start w:val="1"/>
      <w:numFmt w:val="decimal"/>
      <w:lvlText w:val="%4."/>
      <w:lvlJc w:val="left"/>
      <w:pPr>
        <w:tabs>
          <w:tab w:val="num" w:pos="2880"/>
        </w:tabs>
        <w:ind w:left="2880" w:hanging="360"/>
      </w:pPr>
    </w:lvl>
    <w:lvl w:ilvl="4" w:tplc="19228DE6" w:tentative="1">
      <w:start w:val="1"/>
      <w:numFmt w:val="lowerLetter"/>
      <w:lvlText w:val="%5."/>
      <w:lvlJc w:val="left"/>
      <w:pPr>
        <w:tabs>
          <w:tab w:val="num" w:pos="3600"/>
        </w:tabs>
        <w:ind w:left="3600" w:hanging="360"/>
      </w:pPr>
    </w:lvl>
    <w:lvl w:ilvl="5" w:tplc="308E3044" w:tentative="1">
      <w:start w:val="1"/>
      <w:numFmt w:val="lowerRoman"/>
      <w:lvlText w:val="%6."/>
      <w:lvlJc w:val="right"/>
      <w:pPr>
        <w:tabs>
          <w:tab w:val="num" w:pos="4320"/>
        </w:tabs>
        <w:ind w:left="4320" w:hanging="180"/>
      </w:pPr>
    </w:lvl>
    <w:lvl w:ilvl="6" w:tplc="1436A8AE" w:tentative="1">
      <w:start w:val="1"/>
      <w:numFmt w:val="decimal"/>
      <w:lvlText w:val="%7."/>
      <w:lvlJc w:val="left"/>
      <w:pPr>
        <w:tabs>
          <w:tab w:val="num" w:pos="5040"/>
        </w:tabs>
        <w:ind w:left="5040" w:hanging="360"/>
      </w:pPr>
    </w:lvl>
    <w:lvl w:ilvl="7" w:tplc="BC90764C" w:tentative="1">
      <w:start w:val="1"/>
      <w:numFmt w:val="lowerLetter"/>
      <w:lvlText w:val="%8."/>
      <w:lvlJc w:val="left"/>
      <w:pPr>
        <w:tabs>
          <w:tab w:val="num" w:pos="5760"/>
        </w:tabs>
        <w:ind w:left="5760" w:hanging="360"/>
      </w:pPr>
    </w:lvl>
    <w:lvl w:ilvl="8" w:tplc="E0968C56"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8F02EAEE">
      <w:start w:val="1"/>
      <w:numFmt w:val="decimal"/>
      <w:lvlText w:val="%1."/>
      <w:lvlJc w:val="left"/>
      <w:pPr>
        <w:tabs>
          <w:tab w:val="num" w:pos="720"/>
        </w:tabs>
        <w:ind w:left="720" w:hanging="360"/>
      </w:pPr>
    </w:lvl>
    <w:lvl w:ilvl="1" w:tplc="0C090019">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3"/>
  </w:num>
  <w:num w:numId="5">
    <w:abstractNumId w:val="1"/>
  </w:num>
  <w:num w:numId="6">
    <w:abstractNumId w:val="12"/>
  </w:num>
  <w:num w:numId="7">
    <w:abstractNumId w:val="11"/>
  </w:num>
  <w:num w:numId="8">
    <w:abstractNumId w:val="9"/>
  </w:num>
  <w:num w:numId="9">
    <w:abstractNumId w:val="8"/>
  </w:num>
  <w:num w:numId="10">
    <w:abstractNumId w:val="5"/>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37079"/>
    <w:rsid w:val="000400F9"/>
    <w:rsid w:val="00061CE4"/>
    <w:rsid w:val="00075A36"/>
    <w:rsid w:val="000B545C"/>
    <w:rsid w:val="000E047C"/>
    <w:rsid w:val="000E5BFA"/>
    <w:rsid w:val="001141E1"/>
    <w:rsid w:val="00133013"/>
    <w:rsid w:val="00133A34"/>
    <w:rsid w:val="00160524"/>
    <w:rsid w:val="001C6A6D"/>
    <w:rsid w:val="001D7925"/>
    <w:rsid w:val="001E4D25"/>
    <w:rsid w:val="00227466"/>
    <w:rsid w:val="00252861"/>
    <w:rsid w:val="00254E35"/>
    <w:rsid w:val="00265EEE"/>
    <w:rsid w:val="0028053C"/>
    <w:rsid w:val="002836D9"/>
    <w:rsid w:val="002F57E4"/>
    <w:rsid w:val="002F5DCC"/>
    <w:rsid w:val="00314FEB"/>
    <w:rsid w:val="0032048B"/>
    <w:rsid w:val="00336ACA"/>
    <w:rsid w:val="00346156"/>
    <w:rsid w:val="00362E15"/>
    <w:rsid w:val="00382380"/>
    <w:rsid w:val="003A269C"/>
    <w:rsid w:val="003A2E0F"/>
    <w:rsid w:val="003A36D8"/>
    <w:rsid w:val="003A7587"/>
    <w:rsid w:val="003C3732"/>
    <w:rsid w:val="00435BE5"/>
    <w:rsid w:val="00464B51"/>
    <w:rsid w:val="0048014B"/>
    <w:rsid w:val="0048019C"/>
    <w:rsid w:val="00486A99"/>
    <w:rsid w:val="004B794B"/>
    <w:rsid w:val="004E6C38"/>
    <w:rsid w:val="005062DE"/>
    <w:rsid w:val="0050703D"/>
    <w:rsid w:val="005239D2"/>
    <w:rsid w:val="005332FD"/>
    <w:rsid w:val="00562AE4"/>
    <w:rsid w:val="0056401D"/>
    <w:rsid w:val="005B1D9B"/>
    <w:rsid w:val="005C224F"/>
    <w:rsid w:val="005E6374"/>
    <w:rsid w:val="006100CC"/>
    <w:rsid w:val="00644076"/>
    <w:rsid w:val="006631CF"/>
    <w:rsid w:val="00682036"/>
    <w:rsid w:val="006B3B54"/>
    <w:rsid w:val="006C45B4"/>
    <w:rsid w:val="006D0869"/>
    <w:rsid w:val="006E6713"/>
    <w:rsid w:val="007060D7"/>
    <w:rsid w:val="00710AAE"/>
    <w:rsid w:val="00724F94"/>
    <w:rsid w:val="00726F36"/>
    <w:rsid w:val="00742B8E"/>
    <w:rsid w:val="00756A06"/>
    <w:rsid w:val="00796B3E"/>
    <w:rsid w:val="007A25F4"/>
    <w:rsid w:val="007A6599"/>
    <w:rsid w:val="007D3B9D"/>
    <w:rsid w:val="007F52D6"/>
    <w:rsid w:val="0082040E"/>
    <w:rsid w:val="00842684"/>
    <w:rsid w:val="00845D3E"/>
    <w:rsid w:val="00862115"/>
    <w:rsid w:val="008A5F1B"/>
    <w:rsid w:val="008B7E17"/>
    <w:rsid w:val="008C3732"/>
    <w:rsid w:val="008D5346"/>
    <w:rsid w:val="008F44CD"/>
    <w:rsid w:val="00905CDE"/>
    <w:rsid w:val="00905FC5"/>
    <w:rsid w:val="00922A5B"/>
    <w:rsid w:val="009D0C12"/>
    <w:rsid w:val="009D7CCB"/>
    <w:rsid w:val="009E6E53"/>
    <w:rsid w:val="009E71AF"/>
    <w:rsid w:val="009F5476"/>
    <w:rsid w:val="00A20C0E"/>
    <w:rsid w:val="00A30F55"/>
    <w:rsid w:val="00A354FF"/>
    <w:rsid w:val="00A527A5"/>
    <w:rsid w:val="00A64C9A"/>
    <w:rsid w:val="00AA128C"/>
    <w:rsid w:val="00AB6637"/>
    <w:rsid w:val="00AD71E5"/>
    <w:rsid w:val="00AE1995"/>
    <w:rsid w:val="00B40BDF"/>
    <w:rsid w:val="00C06C47"/>
    <w:rsid w:val="00C07656"/>
    <w:rsid w:val="00C11A12"/>
    <w:rsid w:val="00C805EC"/>
    <w:rsid w:val="00C85B71"/>
    <w:rsid w:val="00CB6FD5"/>
    <w:rsid w:val="00CE6FBA"/>
    <w:rsid w:val="00D06AE0"/>
    <w:rsid w:val="00D3603F"/>
    <w:rsid w:val="00D54601"/>
    <w:rsid w:val="00D84933"/>
    <w:rsid w:val="00DD3CD5"/>
    <w:rsid w:val="00DD497C"/>
    <w:rsid w:val="00DD702D"/>
    <w:rsid w:val="00DF4650"/>
    <w:rsid w:val="00E07849"/>
    <w:rsid w:val="00E433A7"/>
    <w:rsid w:val="00E463C2"/>
    <w:rsid w:val="00E6227B"/>
    <w:rsid w:val="00EA00BF"/>
    <w:rsid w:val="00ED17CD"/>
    <w:rsid w:val="00EE4BD3"/>
    <w:rsid w:val="00EE70A1"/>
    <w:rsid w:val="00F10DF9"/>
    <w:rsid w:val="00F330EE"/>
    <w:rsid w:val="00F744A6"/>
    <w:rsid w:val="00F756F8"/>
    <w:rsid w:val="00F812D3"/>
    <w:rsid w:val="00FB030D"/>
    <w:rsid w:val="00FB54A6"/>
    <w:rsid w:val="00FD1AA3"/>
    <w:rsid w:val="00FE2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464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losing-the-gap-execsumm.pdf" TargetMode="External"/><Relationship Id="rId13" Type="http://schemas.openxmlformats.org/officeDocument/2006/relationships/hyperlink" Target="Attachments/closing-the-gap-economic-participation.pdf" TargetMode="External"/><Relationship Id="rId18" Type="http://schemas.openxmlformats.org/officeDocument/2006/relationships/hyperlink" Target="Attachments/closing-the-gap-demographic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Attachments/closing-the-gap-report.pdf" TargetMode="External"/><Relationship Id="rId12" Type="http://schemas.openxmlformats.org/officeDocument/2006/relationships/hyperlink" Target="Attachments/closing-the-gap-healthylives.pdf" TargetMode="External"/><Relationship Id="rId17" Type="http://schemas.openxmlformats.org/officeDocument/2006/relationships/hyperlink" Target="Attachments/closing-the-gap-land-culture.pdf" TargetMode="External"/><Relationship Id="rId2" Type="http://schemas.openxmlformats.org/officeDocument/2006/relationships/styles" Target="styles.xml"/><Relationship Id="rId16" Type="http://schemas.openxmlformats.org/officeDocument/2006/relationships/hyperlink" Target="Attachments/closing-the-gap-governance.pdf" TargetMode="External"/><Relationship Id="rId20" Type="http://schemas.openxmlformats.org/officeDocument/2006/relationships/hyperlink" Target="Attachments/closing-the-gap-tech-notes-appendic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closing-the-gap-educatio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ttachments/closing-the-gap-safe-communities.pdf" TargetMode="External"/><Relationship Id="rId23" Type="http://schemas.openxmlformats.org/officeDocument/2006/relationships/fontTable" Target="fontTable.xml"/><Relationship Id="rId10" Type="http://schemas.openxmlformats.org/officeDocument/2006/relationships/hyperlink" Target="Attachments/closing-the-gap-early-childhood.pdf" TargetMode="External"/><Relationship Id="rId19" Type="http://schemas.openxmlformats.org/officeDocument/2006/relationships/hyperlink" Target="Attachments/closing-the-gap-glossary.pdf" TargetMode="External"/><Relationship Id="rId4" Type="http://schemas.openxmlformats.org/officeDocument/2006/relationships/webSettings" Target="webSettings.xml"/><Relationship Id="rId9" Type="http://schemas.openxmlformats.org/officeDocument/2006/relationships/hyperlink" Target="Attachments/closing-the-gap-targets-indicators.pdf" TargetMode="External"/><Relationship Id="rId14" Type="http://schemas.openxmlformats.org/officeDocument/2006/relationships/hyperlink" Target="Attachments/closing-the-gap-home-enviro.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1680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1954</CharactersWithSpaces>
  <SharedDoc>false</SharedDoc>
  <HyperlinkBase>https://www.cabinet.qld.gov.au/documents/2008/Nov/Closing the Gap 2008 report/</HyperlinkBase>
  <HLinks>
    <vt:vector size="84" baseType="variant">
      <vt:variant>
        <vt:i4>4915214</vt:i4>
      </vt:variant>
      <vt:variant>
        <vt:i4>39</vt:i4>
      </vt:variant>
      <vt:variant>
        <vt:i4>0</vt:i4>
      </vt:variant>
      <vt:variant>
        <vt:i4>5</vt:i4>
      </vt:variant>
      <vt:variant>
        <vt:lpwstr>Attachments/closing-the-gap-tech-notes-appendices.pdf</vt:lpwstr>
      </vt:variant>
      <vt:variant>
        <vt:lpwstr/>
      </vt:variant>
      <vt:variant>
        <vt:i4>458817</vt:i4>
      </vt:variant>
      <vt:variant>
        <vt:i4>36</vt:i4>
      </vt:variant>
      <vt:variant>
        <vt:i4>0</vt:i4>
      </vt:variant>
      <vt:variant>
        <vt:i4>5</vt:i4>
      </vt:variant>
      <vt:variant>
        <vt:lpwstr>Attachments/closing-the-gap-glossary.pdf</vt:lpwstr>
      </vt:variant>
      <vt:variant>
        <vt:lpwstr/>
      </vt:variant>
      <vt:variant>
        <vt:i4>1179724</vt:i4>
      </vt:variant>
      <vt:variant>
        <vt:i4>33</vt:i4>
      </vt:variant>
      <vt:variant>
        <vt:i4>0</vt:i4>
      </vt:variant>
      <vt:variant>
        <vt:i4>5</vt:i4>
      </vt:variant>
      <vt:variant>
        <vt:lpwstr>Attachments/closing-the-gap-demographics.pdf</vt:lpwstr>
      </vt:variant>
      <vt:variant>
        <vt:lpwstr/>
      </vt:variant>
      <vt:variant>
        <vt:i4>1703956</vt:i4>
      </vt:variant>
      <vt:variant>
        <vt:i4>30</vt:i4>
      </vt:variant>
      <vt:variant>
        <vt:i4>0</vt:i4>
      </vt:variant>
      <vt:variant>
        <vt:i4>5</vt:i4>
      </vt:variant>
      <vt:variant>
        <vt:lpwstr>Attachments/closing-the-gap-land-culture.pdf</vt:lpwstr>
      </vt:variant>
      <vt:variant>
        <vt:lpwstr/>
      </vt:variant>
      <vt:variant>
        <vt:i4>7274537</vt:i4>
      </vt:variant>
      <vt:variant>
        <vt:i4>27</vt:i4>
      </vt:variant>
      <vt:variant>
        <vt:i4>0</vt:i4>
      </vt:variant>
      <vt:variant>
        <vt:i4>5</vt:i4>
      </vt:variant>
      <vt:variant>
        <vt:lpwstr>Attachments/closing-the-gap-governance.pdf</vt:lpwstr>
      </vt:variant>
      <vt:variant>
        <vt:lpwstr/>
      </vt:variant>
      <vt:variant>
        <vt:i4>786445</vt:i4>
      </vt:variant>
      <vt:variant>
        <vt:i4>24</vt:i4>
      </vt:variant>
      <vt:variant>
        <vt:i4>0</vt:i4>
      </vt:variant>
      <vt:variant>
        <vt:i4>5</vt:i4>
      </vt:variant>
      <vt:variant>
        <vt:lpwstr>Attachments/closing-the-gap-safe-communities.pdf</vt:lpwstr>
      </vt:variant>
      <vt:variant>
        <vt:lpwstr/>
      </vt:variant>
      <vt:variant>
        <vt:i4>3604530</vt:i4>
      </vt:variant>
      <vt:variant>
        <vt:i4>21</vt:i4>
      </vt:variant>
      <vt:variant>
        <vt:i4>0</vt:i4>
      </vt:variant>
      <vt:variant>
        <vt:i4>5</vt:i4>
      </vt:variant>
      <vt:variant>
        <vt:lpwstr>Attachments/closing-the-gap-home-enviro.pdf</vt:lpwstr>
      </vt:variant>
      <vt:variant>
        <vt:lpwstr/>
      </vt:variant>
      <vt:variant>
        <vt:i4>6750324</vt:i4>
      </vt:variant>
      <vt:variant>
        <vt:i4>18</vt:i4>
      </vt:variant>
      <vt:variant>
        <vt:i4>0</vt:i4>
      </vt:variant>
      <vt:variant>
        <vt:i4>5</vt:i4>
      </vt:variant>
      <vt:variant>
        <vt:lpwstr>Attachments/closing-the-gap-economic-participation.pdf</vt:lpwstr>
      </vt:variant>
      <vt:variant>
        <vt:lpwstr/>
      </vt:variant>
      <vt:variant>
        <vt:i4>524352</vt:i4>
      </vt:variant>
      <vt:variant>
        <vt:i4>15</vt:i4>
      </vt:variant>
      <vt:variant>
        <vt:i4>0</vt:i4>
      </vt:variant>
      <vt:variant>
        <vt:i4>5</vt:i4>
      </vt:variant>
      <vt:variant>
        <vt:lpwstr>Attachments/closing-the-gap-healthylives.pdf</vt:lpwstr>
      </vt:variant>
      <vt:variant>
        <vt:lpwstr/>
      </vt:variant>
      <vt:variant>
        <vt:i4>4194308</vt:i4>
      </vt:variant>
      <vt:variant>
        <vt:i4>12</vt:i4>
      </vt:variant>
      <vt:variant>
        <vt:i4>0</vt:i4>
      </vt:variant>
      <vt:variant>
        <vt:i4>5</vt:i4>
      </vt:variant>
      <vt:variant>
        <vt:lpwstr>Attachments/closing-the-gap-education.pdf</vt:lpwstr>
      </vt:variant>
      <vt:variant>
        <vt:lpwstr/>
      </vt:variant>
      <vt:variant>
        <vt:i4>8323193</vt:i4>
      </vt:variant>
      <vt:variant>
        <vt:i4>9</vt:i4>
      </vt:variant>
      <vt:variant>
        <vt:i4>0</vt:i4>
      </vt:variant>
      <vt:variant>
        <vt:i4>5</vt:i4>
      </vt:variant>
      <vt:variant>
        <vt:lpwstr>Attachments/closing-the-gap-early-childhood.pdf</vt:lpwstr>
      </vt:variant>
      <vt:variant>
        <vt:lpwstr/>
      </vt:variant>
      <vt:variant>
        <vt:i4>2424880</vt:i4>
      </vt:variant>
      <vt:variant>
        <vt:i4>6</vt:i4>
      </vt:variant>
      <vt:variant>
        <vt:i4>0</vt:i4>
      </vt:variant>
      <vt:variant>
        <vt:i4>5</vt:i4>
      </vt:variant>
      <vt:variant>
        <vt:lpwstr>Attachments/closing-the-gap-targets-indicators.pdf</vt:lpwstr>
      </vt:variant>
      <vt:variant>
        <vt:lpwstr/>
      </vt:variant>
      <vt:variant>
        <vt:i4>196694</vt:i4>
      </vt:variant>
      <vt:variant>
        <vt:i4>3</vt:i4>
      </vt:variant>
      <vt:variant>
        <vt:i4>0</vt:i4>
      </vt:variant>
      <vt:variant>
        <vt:i4>5</vt:i4>
      </vt:variant>
      <vt:variant>
        <vt:lpwstr>Attachments/closing-the-gap-execsumm.pdf</vt:lpwstr>
      </vt:variant>
      <vt:variant>
        <vt:lpwstr/>
      </vt:variant>
      <vt:variant>
        <vt:i4>8257592</vt:i4>
      </vt:variant>
      <vt:variant>
        <vt:i4>0</vt:i4>
      </vt:variant>
      <vt:variant>
        <vt:i4>0</vt:i4>
      </vt:variant>
      <vt:variant>
        <vt:i4>5</vt:i4>
      </vt:variant>
      <vt:variant>
        <vt:lpwstr>Attachments/closing-the-gap-report.pdf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2017-10-24T07:45:00Z</dcterms:created>
  <dcterms:modified xsi:type="dcterms:W3CDTF">2018-03-06T00:52:00Z</dcterms:modified>
  <cp:category>Aboriginal_and_Torres_Strait_Islander,Indigenous</cp:category>
</cp:coreProperties>
</file>